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附件1</w:t>
      </w:r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西华大学优势学科“揭榜挂帅”人才引进项目榜单</w:t>
      </w:r>
    </w:p>
    <w:p>
      <w:pPr>
        <w:spacing w:line="500" w:lineRule="exact"/>
        <w:ind w:firstLine="640"/>
        <w:jc w:val="center"/>
        <w:rPr>
          <w:rFonts w:ascii="Times New Roman" w:hAnsi="Times New Roman" w:cstheme="minorEastAsia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项目榜单1</w:t>
      </w:r>
    </w:p>
    <w:tbl>
      <w:tblPr>
        <w:tblStyle w:val="3"/>
        <w:tblW w:w="8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6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需求单位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食品与生物工程学院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需求学科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学科方向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食品科学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农产品加工与贮藏工程</w:t>
            </w:r>
          </w:p>
          <w:p>
            <w:pPr>
              <w:spacing w:line="440" w:lineRule="exact"/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粮食、油脂及植物蛋白工程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需求人才类型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顶尖人才、领军人才、拔尖人才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需求数量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任选上述学科方向引进1名即可揭榜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相关要求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1.需在2025年8月31日前符合上述人才类型且全职（含人事关系）引进到西华大学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ascii="Times New Roman" w:hAnsi="Times New Roman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2.顶尖人才年龄不限，领军人才年龄45—58岁，拔尖人才年龄45岁以下。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人才待遇和任务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揭榜项目的人才引进待遇（年薪、安家费）在学校现有人才待遇的基础上上浮20%，科研启动费按“一人一议”的方式执行；任务由需求学院制定。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项目完成时间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2025年8月31日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揭榜奖励性绩效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完成榜单任务后按被引进人才年薪的30%给予揭榜方一次性包干奖励。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项目考核形式</w:t>
            </w:r>
          </w:p>
        </w:tc>
        <w:tc>
          <w:tcPr>
            <w:tcW w:w="6217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以引进人才与学校签订协议或先引进后达到榜单需求的人才类型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为结果进行考核。</w:t>
            </w:r>
          </w:p>
        </w:tc>
      </w:tr>
    </w:tbl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</w:p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</w:p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</w:p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</w:p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</w:p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项目榜单2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需求单位</w:t>
            </w:r>
          </w:p>
        </w:tc>
        <w:tc>
          <w:tcPr>
            <w:tcW w:w="6033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能源与动力工程学院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需求学科</w:t>
            </w:r>
          </w:p>
        </w:tc>
        <w:tc>
          <w:tcPr>
            <w:tcW w:w="6033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动力工程及工程热物理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学科方向</w:t>
            </w:r>
          </w:p>
        </w:tc>
        <w:tc>
          <w:tcPr>
            <w:tcW w:w="6033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流体机械及工程</w:t>
            </w:r>
          </w:p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动力机械及工程</w:t>
            </w:r>
          </w:p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化工过程机械</w:t>
            </w:r>
          </w:p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新能源科学与工程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需求人才类型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顶尖人才、领军人才、拔尖人才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需求数量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任选上述学科方向引进1名即可揭榜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相关要求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1.需在2025年8月31日前符合上述人才类型且全职（含人事关系）引进到西华大学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spacing w:line="440" w:lineRule="exac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2.顶尖人才年龄不限，领军人才年龄45—58岁，拔尖人才年龄45岁以下。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人才待遇和任务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揭榜项目的人才引进待遇（年薪、安家费）在学校现有人才待遇的基础上上浮20%，科研启动费按“一人一议”的方式执行；任务由需求学院制定。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项目完成时间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2025年8月31日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揭榜奖励性绩效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完成榜单任务后按被引进人才年薪的30%给予揭榜方一次性包干奖励。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项目考核形式</w:t>
            </w:r>
          </w:p>
        </w:tc>
        <w:tc>
          <w:tcPr>
            <w:tcW w:w="6033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以引进人才与学校签订协议或先引进后达到榜单需求的人才类型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为结果进行考核。</w:t>
            </w:r>
          </w:p>
        </w:tc>
      </w:tr>
    </w:tbl>
    <w:p>
      <w:pPr>
        <w:spacing w:line="500" w:lineRule="exact"/>
        <w:ind w:firstLine="560"/>
        <w:rPr>
          <w:rFonts w:ascii="Times New Roman" w:hAnsi="Times New Roman" w:cstheme="minorEastAsia"/>
          <w:sz w:val="28"/>
          <w:szCs w:val="28"/>
        </w:rPr>
        <w:sectPr>
          <w:pgSz w:w="11906" w:h="16838"/>
          <w:pgMar w:top="1134" w:right="1800" w:bottom="1134" w:left="1800" w:header="851" w:footer="992" w:gutter="0"/>
          <w:cols w:space="0" w:num="1"/>
          <w:docGrid w:type="lines" w:linePitch="312" w:charSpace="0"/>
        </w:sectPr>
      </w:pPr>
    </w:p>
    <w:p>
      <w:pPr>
        <w:spacing w:line="500" w:lineRule="exact"/>
        <w:ind w:firstLine="560"/>
        <w:jc w:val="center"/>
        <w:rPr>
          <w:rFonts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项目榜单3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6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需求单位</w:t>
            </w:r>
          </w:p>
        </w:tc>
        <w:tc>
          <w:tcPr>
            <w:tcW w:w="6121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需求学科</w:t>
            </w:r>
          </w:p>
        </w:tc>
        <w:tc>
          <w:tcPr>
            <w:tcW w:w="6121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学科方向</w:t>
            </w:r>
          </w:p>
        </w:tc>
        <w:tc>
          <w:tcPr>
            <w:tcW w:w="6121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机械制造及其自动化</w:t>
            </w:r>
          </w:p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机械电子工程</w:t>
            </w:r>
          </w:p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车辆工程</w:t>
            </w:r>
          </w:p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机械设计及理论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需求人才类型</w:t>
            </w:r>
          </w:p>
        </w:tc>
        <w:tc>
          <w:tcPr>
            <w:tcW w:w="6121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顶尖人才、领军人才、拔尖人才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需求数量</w:t>
            </w:r>
          </w:p>
        </w:tc>
        <w:tc>
          <w:tcPr>
            <w:tcW w:w="6121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任选上述学科方向引进1名即可揭榜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相关要求</w:t>
            </w:r>
          </w:p>
        </w:tc>
        <w:tc>
          <w:tcPr>
            <w:tcW w:w="6121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1.需在2025年8月31日前符合上述人才类型且全职（含人事关系）引进到西华大学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2.顶尖人才年龄不限，领军人才年龄45—58岁，拔尖人才年龄45岁以下。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人才待遇和任务</w:t>
            </w:r>
          </w:p>
        </w:tc>
        <w:tc>
          <w:tcPr>
            <w:tcW w:w="6121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揭榜项目的人才引进待遇（年薪、安家费）在学校现有人才待遇的基础上上浮20%，科研启动费按“一人一议”的方式执行；任务由需求学院制定。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项目完成时间</w:t>
            </w:r>
          </w:p>
        </w:tc>
        <w:tc>
          <w:tcPr>
            <w:tcW w:w="6121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2025年8月31日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揭榜奖励性绩效</w:t>
            </w:r>
          </w:p>
        </w:tc>
        <w:tc>
          <w:tcPr>
            <w:tcW w:w="6121" w:type="dxa"/>
            <w:vAlign w:val="center"/>
          </w:tcPr>
          <w:p>
            <w:pPr>
              <w:spacing w:line="44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完成榜单任务后按被引进人才年薪的30%给予揭榜方一次性包干奖励。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项目考核形式</w:t>
            </w:r>
          </w:p>
        </w:tc>
        <w:tc>
          <w:tcPr>
            <w:tcW w:w="6121" w:type="dxa"/>
            <w:vAlign w:val="center"/>
          </w:tcPr>
          <w:p>
            <w:pPr>
              <w:spacing w:line="460" w:lineRule="exact"/>
              <w:jc w:val="both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</w:rPr>
              <w:t>以引进人才与学校签订协议或先引进后达到榜单需求的人才类型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为结果进行考核。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DRkMTIxMjFlY2Y4YWViYTgyOWQ4MjhlMjM2ZDEifQ=="/>
  </w:docVars>
  <w:rsids>
    <w:rsidRoot w:val="1A5802BA"/>
    <w:rsid w:val="1A5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2024-06-18T09:01:00Z</dcterms:created>
  <dc:creator>56547</dc:creator>
  <cp:lastModifiedBy>56547</cp:lastModifiedBy>
  <dcterms:modified xsi:type="dcterms:W3CDTF">2024-06-18T09:02:12Z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21D00F103A15427FB11DEB931D2FA837_11</vt:lpwstr>
  </property>
</Properties>
</file>